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15.03.2022 N 168н</w:t>
              <w:br/>
              <w:t xml:space="preserve">"Об утверждении порядка проведения диспансерного наблюдения за взрослыми"</w:t>
              <w:br/>
              <w:t xml:space="preserve">(Зарегистрировано в Минюсте России 21.04.2022 N 68288)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апреля 2022 г. N 68288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марта 2022 г. N 168н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ДИСПАНСЕРНОГО НАБЛЮДЕНИЯ ЗА ВЗРОСЛЫМИ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 ПРОВЕДЕНИЯ ДИСПАНСЕРНОГО НАБЛЮДЕНИЯ ЗА ВЗРОСЛЫМИ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диспансерного наблюдения за взрослыми.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2022 г. и действует до 1 сентября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 ПРОВЕДЕНИЯ ДИСПАНСЕРНОГО НАБЛЮДЕНИЯ ЗА ВЗРОСЛЫМИ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4. Диспансерное наблюдение устанавливается в течение 3-х рабочих дней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установления диагноза при оказании медицинской помощи в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охват диспансерным наблюдением лиц старше трудоспособного возраста, из числа подлежащих ему, не менее 90%;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диспансерного наблюдения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сроки, указанные в </w:t>
      </w:r>
      <w:hyperlink w:history="0" w:anchor="P42" w:tooltip="4. Диспансерное наблюдение устанавливается в течение 3-х рабочих дней посл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достижение целевых значений показателей состояния здоровья в соответствии с клиническими рекомендациями;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сокращение числа обращений по поводу обострений хронических заболеваний среди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уменьшение числа случаев и количества дней временной нетрудоспособности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снижение показателей смертности, в том числе внебольничной смертности, лиц, находящихся под диспансерным наблюдением.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врачи-специалисты (по отдельным заболеваниям или состояниям (группам заболеваний или 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 по медицинской профилактике (фельдшер) отделения (кабинета) медицинской профилактики или центра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w:history="0" r:id="rId11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 пункта).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списков лиц, подлежащих диспансерному наблюдению в отчетном году, их поквартальное распределение;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</w:t>
      </w:r>
      <w:hyperlink w:history="0" w:anchor="P109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- </w:t>
      </w:r>
      <w:hyperlink w:history="0" w:anchor="P754" w:tooltip="ПЕРЕЧЕНЬ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Медицинский работник, указанный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при проведении диспансерного наблюдения: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группу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учет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о порядке, объеме и периодичности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при необходимости дистанционное наблюдение за пациентами в соответствии с </w:t>
      </w:r>
      <w:hyperlink w:history="0" r:id="rId12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оказания медицинской помощи с применением телемедицинских технологий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Утвержден </w:t>
      </w:r>
      <w:hyperlink w:history="0" r:id="rId1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Диспансерный прием (осмотр, консультация)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состояния лица, сбор жалоб и анамнеза, физикальное исследование, назначение и оценку лабораторных и инструментальных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или уточнение диагноза заболевания (состояния);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диспансерном наблюдении вносятся в медицинскую документацию пациента, а также в учетную </w:t>
      </w:r>
      <w:hyperlink w:history="0" r:id="rId1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форму N 030/у</w:t>
        </w:r>
      </w:hyperlink>
      <w:r>
        <w:rPr>
          <w:sz w:val="20"/>
        </w:rPr>
        <w:t xml:space="preserve">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Утверждена </w:t>
      </w:r>
      <w:hyperlink w:history="0" r:id="rId1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Медицинский работник, указанный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ПРИ НАЛИЧИИ КОТОРЫХ УСТАНАВЛИВАЕТСЯ ДИСПАНСЕРНОЕ</w:t>
      </w:r>
    </w:p>
    <w:p>
      <w:pPr>
        <w:pStyle w:val="2"/>
        <w:jc w:val="center"/>
      </w:pPr>
      <w:r>
        <w:rPr>
          <w:sz w:val="20"/>
        </w:rPr>
        <w:t xml:space="preserve">НАБЛЮДЕНИЕ ЗА ВЗРОСЛЫМ НАСЕЛЕНИЕМ ВРАЧОМ-ТЕРАПЕВТОМ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18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461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I10 - I15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(индекс массы тела </w:t>
            </w:r>
            <w:hyperlink w:history="0" w:anchor="P462" w:tooltip="&lt;2&gt; Далее - ИМТ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артериальное давление </w:t>
            </w:r>
            <w:hyperlink w:history="0" w:anchor="P463" w:tooltip="&lt;3&gt; Далее - АД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частота сердечных сокращений </w:t>
            </w:r>
            <w:hyperlink w:history="0" w:anchor="P464" w:tooltip="&lt;4&gt; Далее - ЧСС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холестерин-липопротеины низкой плотности </w:t>
            </w:r>
            <w:hyperlink w:history="0" w:anchor="P465" w:tooltip="&lt;5&gt; Далее - ХС-ЛПНП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альбуминурия в разовой порции мочи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электрокардиограммы </w:t>
            </w:r>
            <w:hyperlink w:history="0" w:anchor="P466" w:tooltip="&lt;6&gt; Далее - ЭКГ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эхокардиограммы </w:t>
            </w:r>
            <w:hyperlink w:history="0" w:anchor="P467" w:tooltip="&lt;7&gt; Далее - ЭхоКГ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(не реже 1 раза в год)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I20 - I25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международное нормализованное отношение </w:t>
            </w:r>
            <w:hyperlink w:history="0" w:anchor="P468" w:tooltip="&lt;8&gt; Далее - МНО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ишемии миокарда по результатам нагрузочного тестирования у пациентов после 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после перенесенного инфаркта миокарда и его осложнения, а также после применения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по завершении диспансерного наблюдения у врача-кардиолога;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стенокардии напряжения I - II функционального класса.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аортокоронарного шунтового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коронарного ангиопластического имплантата и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I44 - I49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Предсердно-желудочковая [атриовентрикулярная] блокада и блокада левой ножки пучка [Гиса];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другие нарушения проводимости;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остановка сердца;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пароксизмальная тахикардия;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предсердной экстрасистолии, желудочковой экстрасистолии, наджелудочковой тахикардии, желудочковой тахикардии на фоне эффективной антиаритмической терапии.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искусственного водителя сердечного ритма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Сердечная недостаточность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скорости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снижения уровня эритроцитов, гемоглобина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N-концевого пропептида натрийуретического гормона (B-типа) (не реже 1 раза в 2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застоя в легких по данным рентгенографии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- фракция выброса левого желудочка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жизнеугрожающих нарушений ритма сердца по данным мониторирования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I65.2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Закупорка и стеноз сонной артерии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E78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обмена липопротеинов и другие липидемии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и триглицеридов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терапии статинами - трансаминазы и креатинкиназы </w:t>
            </w:r>
            <w:hyperlink w:history="0" w:anchor="P469" w:tooltip="&lt;9&gt; Далее - КФК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 (через 4 недели от начала терапии или при мышечных симптомах);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стеноза сонных артерий по данным ультразвукового допплеровского исследования брахиоцефальных артерий -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гиперхолестеринемии, за исключением тяжелой дислипидемии (общий холестерин сыворотки &gt; 8,0 ммоль/л и (или) ХС-ЛПНП &gt; 5,0 ммоль/л и (или) триглицериды &gt; 10 ммоль/л) и (или) подозрения на непереносимость гиполипидемической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реваскуляризации вследствие атеросклеротического поражения сосудистого русла.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гиперхолестеринемии (при уровне общего холестерина больше 8,0 ммоль/л - 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R73.0, R73.9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Предиабет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глюкоза плазмы натощак и через 2 часа после нагрузки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Инсулиннезависимый сахарный диабет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 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ХС-ЛПНП, гликированный гемоглобин,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I69.0 - I69.4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Последствия субарахноидального кровоизлияния, внтричерепного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глюкоза плазмы крови (натощак);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терапии статинами - трансаминазы и КФК (через 4 недели от начала терапии или при мышечных симптомах);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I67.8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поражения сосудов мозга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рецидивов эрозивного процесса по данным эзофагогастродуоденоскопии </w:t>
            </w:r>
            <w:hyperlink w:history="0" w:anchor="P470" w:tooltip="&lt;10&gt; Далее - ЭГДС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3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K21.0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Гастроэзофагеальный рефлюкс с эзофагитом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(без цилиндроклеточной метаплазии - без пищевода Баррета) - отсутствие рецидивов эрозивного процесса по данным ЭГДС;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и цилиндроклеточной метаплазией - пищевод Барретта - 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и цилиндроклеточной метаплазией - пищевод Барретта - 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показаниям, прием (осмотр, консультация) врача-хирурга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Язва желудка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рецидивов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Язва двенадцатиперстной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рецидивов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K31.7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желудка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K86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белково-энергетической недостаточности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J41.0, J41.1, J41.8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Рецидивирующий и хронический бронхиты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функция внешнего дыхания </w:t>
            </w:r>
            <w:hyperlink w:history="0" w:anchor="P471" w:tooltip="&lt;11&gt; Далее - ФВД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Другая уточненная хроническая обструктивная легочная болезнь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легочная болезнь неуточненная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J47.0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Бронхоэктатическая болезнь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 ФВД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врача-аллерголога (по медицинским показаниям)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Неаллергическая астма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Смешанная астма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 неуточненная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J12, J13, J14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после перенесенной пневмонии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J84.1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Интерстициальные заболевания легких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 ФВД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 1 раз в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N18.9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Хроническая болезнь почки неуточненная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 1 раз в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Идиопатический остеопороз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с определением уровня общего кальция, креатинина и щелочной фосфатазы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K29.4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Хронический атрофический гастрит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злокачественных новообразованиях </w:t>
            </w:r>
            <w:hyperlink w:history="0" w:anchor="P472" w:tooltip="&lt;12&gt; Далее - ЗНО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K29.5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Хронический гастрит неуточненный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D12.6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Семейный полипоз толстой кишки, синдром Гартнера, синдром Пейца-Егерса, синдром Турко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K31.7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Полипы желудка и двенадцатиперстной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D12.8, K62.1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прямой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при наличии: гиперпластического полипа - не реже 2 раз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тубулярного полипа -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3х лет при отсутствии рецидива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K50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Болезнь Крона (регионарный энтерит)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K51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Язвенный колит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K22.0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Ахалазия кардиальной части пищевода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K22.2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Непроходимость пищевода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K22.7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Пищевод Барретта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K70.3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Алкогольный цирроз печени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ультразвукового исследования </w:t>
            </w:r>
            <w:hyperlink w:history="0" w:anchor="P473" w:tooltip="&lt;13&gt; Далее - УЗИ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 или компьютерной томографии </w:t>
            </w:r>
            <w:hyperlink w:history="0" w:anchor="P474" w:tooltip="&lt;14&gt; Далее - КТ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, или магнитно-резонансной томографии </w:t>
            </w:r>
            <w:hyperlink w:history="0" w:anchor="P475" w:tooltip="&lt;15&gt; Далее - МРТ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альфа-фетопротеина </w:t>
            </w:r>
            <w:hyperlink w:history="0" w:anchor="P476" w:tooltip="&lt;16&gt; Далее - АФП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 крови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 (или) рост дополнительных объемных образований в паренхиме печени)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K74.3 - K74.6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Первичный билиарный цирроз, вторичный билиарный цирроз, билиарный цирроз неуточненный, другое и неуточненный цирроз печени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D13.4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Гепатоцеллюлярная аденома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УЗИ или КТ, или МРТ;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АФП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удаления гепатоцеллюлярной аденомы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или увеличение размеров и\или васкуляризации аденомы, злокачественный рост по данным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D37.6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желчного пузыря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Пожизненно или до оперативного удаления желчного пузыря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1" w:name="P461"/>
    <w:bookmarkEnd w:id="4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0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ИМТ.</w:t>
      </w:r>
    </w:p>
    <w:bookmarkStart w:id="463" w:name="P463"/>
    <w:bookmarkEnd w:id="4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АД.</w:t>
      </w:r>
    </w:p>
    <w:bookmarkStart w:id="464" w:name="P464"/>
    <w:bookmarkEnd w:id="4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ЧСС.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ХС-ЛПНП.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ЭКГ.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ЭхоКГ.</w:t>
      </w:r>
    </w:p>
    <w:bookmarkStart w:id="468" w:name="P468"/>
    <w:bookmarkEnd w:id="4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МНО.</w:t>
      </w:r>
    </w:p>
    <w:bookmarkStart w:id="469" w:name="P469"/>
    <w:bookmarkEnd w:id="4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КФК.</w:t>
      </w:r>
    </w:p>
    <w:bookmarkStart w:id="470" w:name="P470"/>
    <w:bookmarkEnd w:id="4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ЭГДС.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Далее - ФВД.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Далее - ЗНО.</w:t>
      </w:r>
    </w:p>
    <w:bookmarkStart w:id="473" w:name="P473"/>
    <w:bookmarkEnd w:id="4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Далее - УЗИ.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Далее - КТ.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Далее - МРТ.</w:t>
      </w:r>
    </w:p>
    <w:bookmarkStart w:id="476" w:name="P476"/>
    <w:bookmarkEnd w:id="4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Далее - АФП.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ПРИ НАЛИЧИИ КОТОРЫХ УСТАНАВЛИВАЕТСЯ ДИСПАНСЕРНОЕ</w:t>
      </w:r>
    </w:p>
    <w:p>
      <w:pPr>
        <w:pStyle w:val="2"/>
        <w:jc w:val="center"/>
      </w:pPr>
      <w:r>
        <w:rPr>
          <w:sz w:val="20"/>
        </w:rPr>
        <w:t xml:space="preserve">НАБЛЮДЕНИЕ ЗА ВЗРОСЛЫМ НАСЕЛЕНИЕМ ВРАЧОМ-КАРДИОЛОГОМ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21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728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I05 - I09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ревматические болезни сердца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(индекс массы тела </w:t>
            </w:r>
            <w:hyperlink w:history="0" w:anchor="P729" w:tooltip="&lt;2&gt; Далее - ИМТ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артериальное давление </w:t>
            </w:r>
            <w:hyperlink w:history="0" w:anchor="P730" w:tooltip="&lt;3&gt; Далее - АД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частота сердечных сокращений </w:t>
            </w:r>
            <w:hyperlink w:history="0" w:anchor="P731" w:tooltip="&lt;4&gt; Далее - ЧСС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скорости клубочковой фильтрации </w:t>
            </w:r>
            <w:hyperlink w:history="0" w:anchor="P732" w:tooltip="&lt;5&gt; Далее - СКФ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международное нормализованное отношение </w:t>
            </w:r>
            <w:hyperlink w:history="0" w:anchor="P733" w:tooltip="&lt;6&gt; Далее - МНО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электрокардиограммы </w:t>
            </w:r>
            <w:hyperlink w:history="0" w:anchor="P734" w:tooltip="&lt;7&gt; Далее - ЭКГ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застоя в легких по данным рентгенографии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эхокардиограммы </w:t>
            </w:r>
            <w:hyperlink w:history="0" w:anchor="P735" w:tooltip="&lt;8&gt; Далее - ЭхоКГ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 - диаметр аорты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пациентов с аневризмой грудной аорты (расширение любого отдела грудной аорты &gt; 40 мм) - компьютерная томографическая ангиография </w:t>
            </w:r>
            <w:hyperlink w:history="0" w:anchor="P736" w:tooltip="&lt;9&gt; Далее - КТ-ангиография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пороках сердца и крупных сосудов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Аневризма и расслоение аорты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протеза сердечного клапана, наличие ксеногенного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регургитация, коарктация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(транскатетерной, гибридной)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I10 - I15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домашнего мониторирования артериального давления и дневников с указанием доз принимаемых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холестерин-липопротеины низкой плотности </w:t>
            </w:r>
            <w:hyperlink w:history="0" w:anchor="P737" w:tooltip="&lt;10&gt; Далее - ХС-ЛПНП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альбуминурия в разовой порции мочи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C4 и выше стадии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I20 - I25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history="0" w:anchor="P738" w:tooltip="&lt;11&gt; Далее - ФК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, состояния после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в первые 12 мес. после вмешательства, ишемическая болезнь сердца при неэффективности медикаментозной терапии (рефрактерные симптомы, недостижение целевых уровней АД, ЧСС, ХС-ЛПНП), ишемическая болезнь сердца при наличии сердечной недостаточности и (или) жизнеугрожающих нарушений ритма, ишемическая болезнь сердца в сочетании с сахарным диабетом и (или) хронической болезнью почек C4 и более стадии, при комбинированной антитромботической терапии, ишемическая болезнь сердца в сочетании с симптомным заболеванием периферических артерий и атеросклерозом другого сосудистого бассейна при назначении двойной антиагрегантной или комбинированной антитромботической терапии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аортокоронарного шунтового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коронарного ангиопластичного имплантата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Легочная эмболия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4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12 месяцев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Первичная легочная гипертензия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ЧСС, пульсоксиметрия в покое;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N-концевого пропептида натрийуретического гормона (B-типа) </w:t>
            </w:r>
            <w:hyperlink w:history="0" w:anchor="P739" w:tooltip="&lt;12&gt; Далее - NT-proBNP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 6-минутной ходьбы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эргоспирометрия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болезни легочных сосудов с их соответствующим описанием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Другая вторичная легочная гипертензия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I27.8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формы легочно-сердечной недостаточности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I33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Острый и подострый эндокардит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history="0" w:anchor="P740" w:tooltip="&lt;13&gt; Далее - CРБ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месяцев после выздоровления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перенесенном инфекционном эндокардите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I38 - I39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Острый миокардит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год; ежемесячно - на фоне иммуносупрессивной терапии);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CРБ и NT-proBNP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месяцев после выздоровления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Миокардит при болезнях, классифицированных в других рубриках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I51.4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Миокардит неуточненный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I42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Кардиомиопатия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I44 - I49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жизнеугрожающие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катетерная аблация по поводу сердечно-сосудистых заболеваний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искусственного водителя сердечного ритма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Сердечная недостаточность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NT-proBNP (не реже 1 раза в 2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history="0" w:anchor="P741" w:tooltip="&lt;14&gt; Далее - фракция выброса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40% в сочетании с сахарным диабетом и (или) хронической болезнью почек 4 и 5 стадии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I65.2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Закупорка и стеноз сонной артерии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стеноз внутренней сонной артерии от 40% при сочетании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E78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обмена липопротеинов и другие липидемии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и триглицериды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0"/>
            </w:pPr>
            <w:r>
              <w:rPr>
                <w:sz w:val="20"/>
              </w:rPr>
              <w:t xml:space="preserve">тяжелая дислипидемия (общий холестерин сыворотки &gt; 8,0 ммоль/л и (или) ХС-ЛПНП &gt; 5,0 ммоль/л и (или) триглицериды &gt; 10 ммоль/л) и (или) подозрение на непереносимость гиполипидемической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реваскуляризации вследствие атеросклеротического поражения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ЭхоКГ (не реже 1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 лет при кодах Q21.0, Q21.1, Q21.4 после оперативного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Пожизненно при других кодах в группе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сердечно-сосудистого хирурга при отклонении соответствующих контролируемых показателей по данным ЭхоКГ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3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ИМТ.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АД.</w:t>
      </w:r>
    </w:p>
    <w:bookmarkStart w:id="731" w:name="P731"/>
    <w:bookmarkEnd w:id="7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ЧСС.</w:t>
      </w:r>
    </w:p>
    <w:bookmarkStart w:id="732" w:name="P732"/>
    <w:bookmarkEnd w:id="7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СКФ.</w:t>
      </w:r>
    </w:p>
    <w:bookmarkStart w:id="733" w:name="P733"/>
    <w:bookmarkEnd w:id="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МНО.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ЭКГ.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ЭхоКГ.</w:t>
      </w:r>
    </w:p>
    <w:bookmarkStart w:id="736" w:name="P736"/>
    <w:bookmarkEnd w:id="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КТ-ангиография.</w:t>
      </w:r>
    </w:p>
    <w:bookmarkStart w:id="737" w:name="P737"/>
    <w:bookmarkEnd w:id="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ХС-ЛПНП.</w:t>
      </w:r>
    </w:p>
    <w:bookmarkStart w:id="738" w:name="P738"/>
    <w:bookmarkEnd w:id="7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Далее - ФК.</w:t>
      </w:r>
    </w:p>
    <w:bookmarkStart w:id="739" w:name="P739"/>
    <w:bookmarkEnd w:id="7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Далее - NT-proBNP.</w:t>
      </w:r>
    </w:p>
    <w:bookmarkStart w:id="740" w:name="P740"/>
    <w:bookmarkEnd w:id="7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Далее - CРБ.</w:t>
      </w:r>
    </w:p>
    <w:bookmarkStart w:id="741" w:name="P741"/>
    <w:bookmarkEnd w:id="7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Далее - фракция выброса.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754" w:name="P754"/>
    <w:bookmarkEnd w:id="75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КОТОРЫЕ ПРЕДШЕСТВУЮТ РАЗВИТИЮ ЗЛОКАЧЕСТВЕННЫХ</w:t>
      </w:r>
    </w:p>
    <w:p>
      <w:pPr>
        <w:pStyle w:val="2"/>
        <w:jc w:val="center"/>
      </w:pPr>
      <w:r>
        <w:rPr>
          <w:sz w:val="20"/>
        </w:rPr>
        <w:t xml:space="preserve">НОВООБРАЗОВАНИЙ, ПРИ НАЛИЧИИ КОТОРЫХ УСТАНАВЛИВАЕТСЯ</w:t>
      </w:r>
    </w:p>
    <w:p>
      <w:pPr>
        <w:pStyle w:val="2"/>
        <w:jc w:val="center"/>
      </w:pPr>
      <w:r>
        <w:rPr>
          <w:sz w:val="20"/>
        </w:rPr>
        <w:t xml:space="preserve">ДИСПАНСЕРНОЕ НАБЛЮДЕНИЕ ЗА ВЗРОСЛЫМ</w:t>
      </w:r>
    </w:p>
    <w:p>
      <w:pPr>
        <w:pStyle w:val="2"/>
        <w:jc w:val="center"/>
      </w:pPr>
      <w:r>
        <w:rPr>
          <w:sz w:val="20"/>
        </w:rPr>
        <w:t xml:space="preserve">НАСЕЛЕНИЕМ ВРАЧАМИ-СПЕЦИАЛИСТАМИ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24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1253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врача-инфекциониста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B18.0 - B18.2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по данным ультразвукового исследования </w:t>
            </w:r>
            <w:hyperlink w:history="0" w:anchor="P1254" w:tooltip="&lt;2&gt; Далее - УЗ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или магнитно-резонансной томографии </w:t>
            </w:r>
            <w:hyperlink w:history="0" w:anchor="P1255" w:tooltip="&lt;3&gt; Далее - МРТ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альфа-фетопротеина </w:t>
            </w:r>
            <w:hyperlink w:history="0" w:anchor="P1256" w:tooltip="&lt;4&gt; Далее - АФП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или увеличение размеров дополнительных объемных образований в паренхиме печени)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Болезнь, вызванная вирусом иммунодефицита человека (ВИЧ)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врачом-инфекционистом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У женщин при 3 стадии и количестве CD4+ клеток 200 и более на мкл - 1 раз в год консультация врача-акушера-гинеколога, при других стадиях и количестве CD4+ клеток менее 200 на мл - консультация врача-акушера-гинеколога 1 раз в 6 месяцев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врача-эндокринолога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E34.8, D13.7, D35.0 - D35.2, D35.8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Множественный эндокринный аденоматоз,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глюкозы, инсулина, пролактина, инсулиноподобного фактора роста-1 крови, хромогранина A, глюкагона, гастрина вазоинтестинального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кальция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паращитовидных желез, поджелудочной железы, надпочечников;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данным МРТ гипофиза, УЗИ шеи, УЗИ органов брюшной полости;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эзофагогастродуоденоскопии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злокачественного новообразования </w:t>
            </w:r>
            <w:hyperlink w:history="0" w:anchor="P1257" w:tooltip="&lt;5&gt; Далее - ЗНО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(атипия клеток в пунктате) (TIRADS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III).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Дисплазия или аденокарцинома по результатам ЭГДС с множественной биопсией, изменения уровня, хромогранина A, глюкагона, гастрина вазоинтестинального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референсных значений)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D44.8, D35.0, D35.1 D35.8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Множественная эндокринная неоплазия: тип 2A (Синдром Сиппла);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 2B (Синдром Горлина)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Исключение ЗНО щитовидной железы, паращитовидных желез;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гормонов щитовидной железы (согласно клиническим рекомендациям) и паратиреоидного гормона;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кальцитонина крови, хромогранина A;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метанефринов и норметанефринов суточной мочи или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III), изменение уровня гормонов щитовидной железы (согласно клиническим рекомендациям) и паратиреоидного гормона, кальцитонина крови, раковоэмбриональный антиген </w:t>
            </w:r>
            <w:hyperlink w:history="0" w:anchor="P1258" w:tooltip="&lt;6&gt; Далее - РЭА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хромогранина A, метанефринов и норметанефринов суточной мочи или крови, отличающиеся от референсных значений), кальция крови, скорректированного по альбумину или ионизированного, отличающиеся от референсных значений, наличие объемных образований по результатам УЗИ шеи, компьютерной томографии </w:t>
            </w:r>
            <w:hyperlink w:history="0" w:anchor="P1259" w:tooltip="&lt;7&gt; Далее - КТ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или МРТ надпочечников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E34.5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заболеваний с нарушением формирования пола (варианты дисгенезии гонад и синдромов резистентности к андрогенам)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АФП, бета хорионического гормона, </w:t>
            </w:r>
            <w:hyperlink w:history="0" w:anchor="P1260" w:tooltip="&lt;8&gt; Далее - ХГЧ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, уровень лактатдегидрогеназы крови </w:t>
            </w:r>
            <w:hyperlink w:history="0" w:anchor="P1261" w:tooltip="&lt;9&gt; Далее - ЛДГ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момента удаления гонад (при наличии показаний)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(изменение уровня АФП, ХГЧ, ЛДГ в крови, отличающиеся от референсных значений, наличие объемных образований по данным УЗИ)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E22.0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Акромегалия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семейном полипозе толстой кишки - решение вопроса о выполнении профилактической колэктомии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E04.1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Нетоксический одноузловой зоб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ткани/ложа щитовидной железы по данным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тиреотропного гормона в крови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кальцитонина в сыворотке крови при первичном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пункционной биопсии с цитологическим или морфологическим исследованием;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показаниям, 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 и/или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III), повышение кальцитонина крови у женщин более 10 пг/мл, у мужчин более 15 пг/мл.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Нетоксический многоузловой зоб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Тиреотоксикоз с токсическим одноузловым зобом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E05.2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Тиреотоксикоз с токсическим многоузловым зобом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D35.1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Аденома паращитовидной железы.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размеров образования паращитовидной железы при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кальция, (скорректированный на альбумин), фосфора, креатинина и паратгормона в сыворотке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сцинтиграфия с технецием [99mTc] сестамиби (по показаниям);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денситометрия (по показаниям)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показаниям: уровень общего кальция, скорректированного на альбумин &gt; 3 ммоль/л, размер опухоли &gt; 3 см.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Морфологическая картина атипической аденомы по данным послеоперационного гистологического исследования.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Множественные аденомы паращитовидных желез (синдром МЭН1, МЭН2А и др.)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E21.0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Первичный гиперпаратиреоз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D35.0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Аденома надпочечника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калия, натрия, глюкозы. 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проба с дексаметазоном 1 мг. (Нор) метанефрины в суточной моче или плазме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 лет при гормонально неактивных инциденталомах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показаниям: размер опухоли &gt; 4 см.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Морфологическая картина феохромоцитомы, адренокортикального рака или метастаза в надпочечник по данным послеоперационного гистологического исследования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врача-невролога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Туберозный склероз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врача-хирурга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больших слюнных желез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ткани больших слюнных желез по данным осмотра и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Полиостозная 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появление и (или) увеличение структурных изменений костной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врача-уролога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Папилломы, полипы мочевого пузыря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ультразвуковых признаков роста образования по результатам УЗИ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Папилломы, полипы мочеиспускательного канала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ультразвуковых признаков роста образования по результатам УЗИ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уретероскопии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N48.0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полового члена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при физикальном осмотре с контролем размеров, структуры, толщины очага лейкоплакии;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in situ, инвазивный рак)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D41.0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Сложные кисты почки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Bosniak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Bosniak)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Ангиомиолипома почки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и васкуляризации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накопление контрастного вещества)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Простатическая интраэпителиальная неоплазия простаты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физикального осмотра и УЗИ предстательной железы;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пункционной биопсии;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простатспецифического антигена </w:t>
            </w:r>
            <w:hyperlink w:history="0" w:anchor="P1262" w:tooltip="&lt;10&gt; Далее - ПСА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в сыворотке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образования по данным УЗИ и физикального осмотра, изменение уровня ПСА в сыворотке крови, отличающиеся от референсных значений, наличие данных о ЗНО по результатам морфологического исследования пунктата)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врача-травматолога-ортопеда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M96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гиперостоза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признаков гиперостоза или деструкции по результатам рентгенографии костей и суставов и (или) КТ и (или) МРТ костей и суставов)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M88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Болезнь Педжета (костей) деформирующий остеит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структурных изменений костной ткани по данным рентгенографии костей и суставов и (или) КТ и (или) МРТ,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Солитарные и множественные остеохондромы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 и (или) сцинтиграфии;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Энхондроматоз (дисхондроплазия, болезнь Оллье).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врача-офтальмолога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D31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атипии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атипии по данным морфологического исследования и (или) изменения клинических параметров образования кожи века)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D23.1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 кожи века, включая спайку век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врача-оториноларинголога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голосовой складки и гортани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(увеличения размера полипа, изъязвления) по результатам осмотра врача-специалиста;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ларингоскопии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Папилломатоз, фиброматоз гортани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трахеи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трахеоскопии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Инвертированная папиллома полости носа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носа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хирургического лечения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Новообразование среднего уха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микроотоскопии, КТ или МРТ височных 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 и эндоскопического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других частей ротоглотки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носоглотки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гортаноглотки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глотки неуточненной локализации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ларингит и ларинготрахеит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Фиброларингоскопии;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ринит, назофарингит, фарингит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специалиста, зеркальной фиброскопии полости носа и 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врача-стоматолога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Абразивный хейлит Манганотти, ограниченный гиперкератоз, бородавчатый предрак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языка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дна полости 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D10.3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других неуточненных частей 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Меланоз полости рта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изменения размеров, консистенции, формы образований по данным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Полиостозная 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появление и (или) увеличение структурных изменений костной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L43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врача-дерматовенеролога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Синдром диспластических невусов, синдром FAMM (семейный синдром атипических множественных невусов), синдром FAMMM (семейный синдром атипических множественных невусов с меланомой)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гигантские и крупные невусы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Невус Ядассона, синдром Горлина-Гольца, синдром Базекса, синдром Рембо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L57.1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Актинический кератоз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L82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Эруптивный себорейный кератоз (как проявление фотоповреждения кожи)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Ксеродерма пигментная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ежеквартально в течение первого года диспансерного наблюдения, далее - 2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врача-акушера-гинеколога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Полипы шейки матки и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полипэктомии или раздельном диагностическом выскабливании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 - при отсутствии рецидива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в полученном материале интраэпителиальной неоплазии, атипической гиперплазии эндометрия, аденокарциномы, рака (in situ, инвазивного)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E28.2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Синдром поликистоза яичников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половых гормонов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результатам УЗИ щитовидной железы, паращитовидных желез 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онкомаркеров CA-125 и HE-4 сыворотки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глюкозы по результатам перорального глюкозотолерантного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(тенденция к увеличению уровня онкомаркеров CA-125 и HE4 при динамическом наблюдении, гиперплазия эндометрия, а также появление ультразвуковых признаков малигнизации, появление объемных образований по результатам УЗИ щитовидной железы, паращитовидных желез и органов малого таза).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врача-эндокринолога для проведения перорального глюкозотолерантного теста при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врача-дерматовенеролога при наличии жалоб на акне и выпадение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врача-диетолога с целью модификации образа жизни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N88.0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шейки матки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N85.0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Железистая гиперплазия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рецидива заболевания, по результатам УЗИ органов малого таза - отсутствие увеличения толщины эндометрия более 5 мм на 5 - 7 день цикла или более 4 мм в постменопузе;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рецидивирующей гиперплазии в постменопаузе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Аденоматозная гиперплазия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мм в постменопузе;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Умеренная дисплазия шейки матки Цервикальная интраэпителиальная неоплазия (CIN) II степени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раза в год в течение 1 года после хирургического лечения, далее - не реже 1 раза в год в течение 20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Резко выраженная дисплазия шейки матки, не классифицированная в других рубриках Цервикальная интраэпителиальная неоплазия (CIN) III степени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сывороточного онкомаркера CA-125, HE4, ингибин B, ЛДГ, АФП, РЭА, ХГЧ;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васкуляризация кист, наличие папиллярных 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(до излечения)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онкомаркеров CA-125, HE4, ингибин B, ЛДГ, АФП, РЭА, ХГЧ; при выявлении мутации генов BRCA1 и BRCA2, CHEC)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врача-онколога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молочной железы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данным осмотра, пальпации молочных желез, шейно-надключичных и подмышечных зон;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роста и изменения степени васкуляризации по инструментальным методам исследования (УЗИ, маммография);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наступления менопаузы, но не менее 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N60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Доброкачественная дисплазия молочной железы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60 лет, но не менее 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53" w:name="P1253"/>
    <w:bookmarkEnd w:id="1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6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1254" w:name="P1254"/>
    <w:bookmarkEnd w:id="1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УЗИ.</w:t>
      </w:r>
    </w:p>
    <w:bookmarkStart w:id="1255" w:name="P1255"/>
    <w:bookmarkEnd w:id="1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МРТ.</w:t>
      </w:r>
    </w:p>
    <w:bookmarkStart w:id="1256" w:name="P1256"/>
    <w:bookmarkEnd w:id="1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АФП.</w:t>
      </w:r>
    </w:p>
    <w:bookmarkStart w:id="1257" w:name="P1257"/>
    <w:bookmarkEnd w:id="1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ЗНО.</w:t>
      </w:r>
    </w:p>
    <w:bookmarkStart w:id="1258" w:name="P1258"/>
    <w:bookmarkEnd w:id="1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РЭА.</w:t>
      </w:r>
    </w:p>
    <w:bookmarkStart w:id="1259" w:name="P1259"/>
    <w:bookmarkEnd w:id="1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КТ.</w:t>
      </w:r>
    </w:p>
    <w:bookmarkStart w:id="1260" w:name="P1260"/>
    <w:bookmarkEnd w:id="1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ХГЧ.</w:t>
      </w:r>
    </w:p>
    <w:bookmarkStart w:id="1261" w:name="P1261"/>
    <w:bookmarkEnd w:id="1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ЛДГ.</w:t>
      </w:r>
    </w:p>
    <w:bookmarkStart w:id="1262" w:name="P1262"/>
    <w:bookmarkEnd w:id="1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ПСА.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  <w:br/>
            <w:t>"Об утверждении порядка проведения диспансерного наблюдения за взрослыми"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  <w:br/>
            <w:t>"Об утверждении порядка проведения диспансерного наблюдения за взрослыми"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8EF741D90B5D792163F0008C4E1052F4F56AC3D888672E0644293BE96DD135864CBA3C851248043FC5771CAA7BC2D1EA208B93281AEj8G" TargetMode = "External"/>
	<Relationship Id="rId8" Type="http://schemas.openxmlformats.org/officeDocument/2006/relationships/hyperlink" Target="consultantplus://offline/ref=18EF741D90B5D792163F0008C4E1052F4850A939838872E0644293BE96DD135876CBFBC4592B9517AB0D26C7A5ABj7G" TargetMode = "External"/>
	<Relationship Id="rId9" Type="http://schemas.openxmlformats.org/officeDocument/2006/relationships/hyperlink" Target="consultantplus://offline/ref=18EF741D90B5D792163F0008C4E1052F4F56AC3D888672E0644293BE96DD135864CBA3C851258043FC5771CAA7BC2D1EA208B93281AEj8G" TargetMode = "External"/>
	<Relationship Id="rId10" Type="http://schemas.openxmlformats.org/officeDocument/2006/relationships/hyperlink" Target="consultantplus://offline/ref=18EF741D90B5D792163F0008C4E1052F4F52A33C848A72E0644293BE96DD135864CBA3C859238B15A4187096E3E13E1EAC08BB349DE98FABA3jDG" TargetMode = "External"/>
	<Relationship Id="rId11" Type="http://schemas.openxmlformats.org/officeDocument/2006/relationships/hyperlink" Target="consultantplus://offline/ref=18EF741D90B5D792163F0008C4E1052F495AAD38888772E0644293BE96DD135864CBA3C859238B17A4187096E3E13E1EAC08BB349DE98FABA3jDG" TargetMode = "External"/>
	<Relationship Id="rId12" Type="http://schemas.openxmlformats.org/officeDocument/2006/relationships/hyperlink" Target="consultantplus://offline/ref=18EF741D90B5D792163F0008C4E1052F495AAD39808A72E0644293BE96DD135864CBA3C859238B17A4187096E3E13E1EAC08BB349DE98FABA3jDG" TargetMode = "External"/>
	<Relationship Id="rId13" Type="http://schemas.openxmlformats.org/officeDocument/2006/relationships/hyperlink" Target="consultantplus://offline/ref=18EF741D90B5D792163F0008C4E1052F495AAD39808A72E0644293BE96DD135876CBFBC4592B9517AB0D26C7A5ABj7G" TargetMode = "External"/>
	<Relationship Id="rId14" Type="http://schemas.openxmlformats.org/officeDocument/2006/relationships/hyperlink" Target="consultantplus://offline/ref=18EF741D90B5D792163F0008C4E1052F4854A338828972E0644293BE96DD135864CBA3C859238F12A5187096E3E13E1EAC08BB349DE98FABA3jDG" TargetMode = "External"/>
	<Relationship Id="rId15" Type="http://schemas.openxmlformats.org/officeDocument/2006/relationships/hyperlink" Target="consultantplus://offline/ref=18EF741D90B5D792163F0008C4E1052F4854A338828972E0644293BE96DD135876CBFBC4592B9517AB0D26C7A5ABj7G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18EF741D90B5D792163F0911C380507C4655AC3F888B78BD6E4ACAB294DA1C0773DEEA9C54238309AD153AC5A7B6A3j0G" TargetMode = "External"/>
	<Relationship Id="rId19" Type="http://schemas.openxmlformats.org/officeDocument/2006/relationships/image" Target="media/image2.wmf"/>
	<Relationship Id="rId20" Type="http://schemas.openxmlformats.org/officeDocument/2006/relationships/hyperlink" Target="consultantplus://offline/ref=18EF741D90B5D792163F0911C380507C4655AC3F888B78BD6E4ACAB294DA1C0773DEEA9C54238309AD153AC5A7B6A3j0G" TargetMode = "External"/>
	<Relationship Id="rId21" Type="http://schemas.openxmlformats.org/officeDocument/2006/relationships/hyperlink" Target="consultantplus://offline/ref=18EF741D90B5D792163F0911C380507C4655AC3F888B78BD6E4ACAB294DA1C0773DEEA9C54238309AD153AC5A7B6A3j0G" TargetMode = "External"/>
	<Relationship Id="rId22" Type="http://schemas.openxmlformats.org/officeDocument/2006/relationships/image" Target="media/image3.wmf"/>
	<Relationship Id="rId23" Type="http://schemas.openxmlformats.org/officeDocument/2006/relationships/hyperlink" Target="consultantplus://offline/ref=18EF741D90B5D792163F0911C380507C4655AC3F888B78BD6E4ACAB294DA1C0773DEEA9C54238309AD153AC5A7B6A3j0G" TargetMode = "External"/>
	<Relationship Id="rId24" Type="http://schemas.openxmlformats.org/officeDocument/2006/relationships/hyperlink" Target="consultantplus://offline/ref=18EF741D90B5D792163F0911C380507C4655AC3F888B78BD6E4ACAB294DA1C0773DEEA9C54238309AD153AC5A7B6A3j0G" TargetMode = "External"/>
	<Relationship Id="rId25" Type="http://schemas.openxmlformats.org/officeDocument/2006/relationships/image" Target="media/image4.wmf"/>
	<Relationship Id="rId26" Type="http://schemas.openxmlformats.org/officeDocument/2006/relationships/hyperlink" Target="consultantplus://offline/ref=18EF741D90B5D792163F0911C380507C4655AC3F888B78BD6E4ACAB294DA1C0773DEEA9C54238309AD153AC5A7B6A3j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15.03.2022 N 168н
"Об утверждении порядка проведения диспансерного наблюдения за взрослыми"
(Зарегистрировано в Минюсте России 21.04.2022 N 68288)</dc:title>
  <dcterms:created xsi:type="dcterms:W3CDTF">2023-06-08T06:34:59Z</dcterms:created>
</cp:coreProperties>
</file>